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8" w:rsidRPr="005B5A68" w:rsidRDefault="003950C4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</w:t>
      </w:r>
      <w:r w:rsidR="001525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10,11</w:t>
      </w: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15259D" w:rsidRPr="001525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Стратегии торговли опционами</w:t>
      </w:r>
      <w:bookmarkStart w:id="0" w:name="_GoBack"/>
      <w:bookmarkEnd w:id="0"/>
    </w:p>
    <w:p w:rsidR="00160DA8" w:rsidRPr="005B5A68" w:rsidRDefault="00160DA8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Цель: знать особенност</w:t>
      </w:r>
      <w:r w:rsidR="00834A68"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 и уметь обосновать необходимос</w:t>
      </w: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ть регулирования рынка ценных бумаг, 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это упорядочение деятельности всех его участников (эмитентов, инвесторов, </w:t>
      </w:r>
      <w:hyperlink r:id="rId5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профессиональных участников рынка ценных бумаг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 </w:t>
      </w:r>
      <w:hyperlink r:id="rId6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сделок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между ними со стороны уполномоченных на это органов.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7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 и любого другого объекта) можно разделить на внутреннее и внешнее регулирование.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регулирование – это подчиненность участников </w:t>
      </w:r>
      <w:hyperlink r:id="rId8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собственным нормативным документам: уставу, правилам осуществления деятельности, стандартам деятельности и так далее.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регулирование – это подчиненность деятельности участника рынка ценных бумаг нормативным актам </w:t>
      </w:r>
      <w:hyperlink r:id="rId10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организаций (например, </w:t>
      </w:r>
      <w:hyperlink r:id="rId11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саморегулируемых организаций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международным соглашения. К внешнему регулированию относится также общественное регулирование, то есть воздействие </w:t>
      </w:r>
      <w:hyperlink r:id="rId12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участников рынка ценных бумаг с использованием механизма общественного мнения. Часто именно реакция широкой публики является причиной тех или иных регулирующих действий со стороны государства или саморегулируемых организаций.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преследует достижение следующих целей: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нормальных условий для функционирования рынка ценных бумаг, всех его участников; поддержание порядка на рынке ценных бумаг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участников рынка ценных бумаг от недобросовестных действий, </w:t>
      </w:r>
      <w:hyperlink r:id="rId13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мошенничества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отдельных лиц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нормального ценообразования на рынке ценных бумаг на основе свободного формирования спроса и предложения финансовых инструментов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рынка ценных бумаг как механизма перераспределения денежных ресурсов, его отдельных сегментов, создание новых сегментов рынка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рынка ценных бумаг для достижения специфических общественных целей (например, для повышения темпов роста экономического развития, разрешения кризиса неплатежей, снижения уровня безработицы и так далее).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Регулятивная инфраструктура – это одна из систем (наряду с информационной и </w:t>
      </w:r>
      <w:proofErr w:type="spellStart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</w:t>
      </w:r>
      <w:proofErr w:type="spellEnd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клиринговой и регистраторской </w:t>
      </w:r>
      <w:hyperlink r:id="rId15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инфраструктурой 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обеспечивающих нормальное функционирование рынка ценных бумаг. Она включает в себя следующие компоненты: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органы (государственные регулирующие органы и саморегулируемые организации)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функции и процедуры (законодательные, регистрирующие, лицензионные, аттестационные, контрольные, надзорные и так далее)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инфраструктура (законодательная и нормативная база функционирования рынка ценных бумаг)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фондового рынка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обычаи.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 xml:space="preserve">1. </w:t>
      </w:r>
      <w:r w:rsidR="00834A68" w:rsidRPr="005B5A68">
        <w:rPr>
          <w:rFonts w:ascii="Times New Roman" w:hAnsi="Times New Roman" w:cs="Times New Roman"/>
          <w:sz w:val="24"/>
          <w:szCs w:val="24"/>
        </w:rPr>
        <w:t>Обоснуйте необходимость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2. Назовите цели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3. Раскройте компоненты регулятивной инфраструктуры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</w:rPr>
        <w:lastRenderedPageBreak/>
        <w:t>Закон РК «О рынке ценных бумаг» (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5B5A68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5B5A68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5B5A68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E00649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www.edu.kase.kz</w:t>
      </w:r>
    </w:p>
    <w:p w:rsidR="00834A68" w:rsidRPr="005B5A68" w:rsidRDefault="00834A68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4A68" w:rsidRPr="005B5A68" w:rsidSect="005B5A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4404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703F0"/>
    <w:multiLevelType w:val="multilevel"/>
    <w:tmpl w:val="836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F1B41"/>
    <w:multiLevelType w:val="multilevel"/>
    <w:tmpl w:val="84B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067D5"/>
    <w:multiLevelType w:val="hybridMultilevel"/>
    <w:tmpl w:val="3AB0F2AE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C0644"/>
    <w:multiLevelType w:val="hybridMultilevel"/>
    <w:tmpl w:val="429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4"/>
    <w:rsid w:val="0015259D"/>
    <w:rsid w:val="00160DA8"/>
    <w:rsid w:val="00186031"/>
    <w:rsid w:val="003950C4"/>
    <w:rsid w:val="004868B7"/>
    <w:rsid w:val="005B5A68"/>
    <w:rsid w:val="00666D27"/>
    <w:rsid w:val="00834A68"/>
    <w:rsid w:val="009D7AA4"/>
    <w:rsid w:val="00B678C7"/>
    <w:rsid w:val="00BD1D44"/>
    <w:rsid w:val="00CC1E42"/>
    <w:rsid w:val="00E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F9B6"/>
  <w15:chartTrackingRefBased/>
  <w15:docId w15:val="{A1595422-5F9B-4A1A-A6C9-520B87D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666D27"/>
    <w:rPr>
      <w:i/>
      <w:iCs/>
    </w:rPr>
  </w:style>
  <w:style w:type="character" w:styleId="a4">
    <w:name w:val="Strong"/>
    <w:basedOn w:val="a0"/>
    <w:uiPriority w:val="22"/>
    <w:qFormat/>
    <w:rsid w:val="00666D27"/>
    <w:rPr>
      <w:b/>
      <w:bCs/>
    </w:rPr>
  </w:style>
  <w:style w:type="character" w:customStyle="1" w:styleId="apple-converted-space">
    <w:name w:val="apple-converted-space"/>
    <w:basedOn w:val="a0"/>
    <w:rsid w:val="00666D27"/>
  </w:style>
  <w:style w:type="character" w:styleId="a5">
    <w:name w:val="Hyperlink"/>
    <w:basedOn w:val="a0"/>
    <w:uiPriority w:val="99"/>
    <w:unhideWhenUsed/>
    <w:rsid w:val="00666D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E42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CC1E42"/>
  </w:style>
  <w:style w:type="character" w:customStyle="1" w:styleId="s9">
    <w:name w:val="s9"/>
    <w:basedOn w:val="a0"/>
    <w:rsid w:val="00CC1E42"/>
  </w:style>
  <w:style w:type="character" w:customStyle="1" w:styleId="a7">
    <w:name w:val="a"/>
    <w:basedOn w:val="a0"/>
    <w:rsid w:val="00CC1E42"/>
  </w:style>
  <w:style w:type="paragraph" w:styleId="a8">
    <w:name w:val="Body Text Indent"/>
    <w:basedOn w:val="a"/>
    <w:link w:val="a9"/>
    <w:rsid w:val="00CC1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C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ekonomika/rynok.html" TargetMode="External"/><Relationship Id="rId13" Type="http://schemas.openxmlformats.org/officeDocument/2006/relationships/hyperlink" Target="http://be5.biz/ugolovnoe_pravo/moshennichest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rynok_tcennykh_bumag/index.html" TargetMode="External"/><Relationship Id="rId12" Type="http://schemas.openxmlformats.org/officeDocument/2006/relationships/hyperlink" Target="http://be5.biz/gosudarstvo_i_pravo/obschestv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5.biz/grazhdanskoe_pravo/sdelki.html" TargetMode="External"/><Relationship Id="rId11" Type="http://schemas.openxmlformats.org/officeDocument/2006/relationships/hyperlink" Target="http://be5.biz/rynok_tcennykh_bumag/samoreguliruemye_organizacii.html" TargetMode="External"/><Relationship Id="rId5" Type="http://schemas.openxmlformats.org/officeDocument/2006/relationships/hyperlink" Target="http://be5.biz/rynok_tcennykh_bumag/uchastniki_rynka_cennyh_bumag.html" TargetMode="External"/><Relationship Id="rId15" Type="http://schemas.openxmlformats.org/officeDocument/2006/relationships/hyperlink" Target="http://be5.biz/rynok_tcennykh_bumag/infrastruktura_rynka_cennyh_bumag.html" TargetMode="External"/><Relationship Id="rId10" Type="http://schemas.openxmlformats.org/officeDocument/2006/relationships/hyperlink" Target="http://be5.biz/gosudarstvo_i_pravo/gosudar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rynok_tcennykh_bumag/tcennye_bumagi.html" TargetMode="External"/><Relationship Id="rId14" Type="http://schemas.openxmlformats.org/officeDocument/2006/relationships/hyperlink" Target="http://be5.biz/ugolovnoe_pravo/prestup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11</cp:revision>
  <dcterms:created xsi:type="dcterms:W3CDTF">2017-06-19T14:53:00Z</dcterms:created>
  <dcterms:modified xsi:type="dcterms:W3CDTF">2023-10-01T22:58:00Z</dcterms:modified>
</cp:coreProperties>
</file>